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76" w:after="0"/>
        <w:rPr>
          <w:rFonts w:ascii="Times New Roman" w:hAnsi="Times New Roman" w:cs="Times New Roman" w:eastAsia="Times New Roman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Додаток 2</w:t>
      </w:r>
      <w:r/>
    </w:p>
    <w:p>
      <w:pPr>
        <w:spacing w:lineRule="auto" w:line="276" w:after="0"/>
        <w:tabs>
          <w:tab w:val="left" w:pos="4820" w:leader="none"/>
        </w:tabs>
        <w:rPr>
          <w:rFonts w:ascii="Times New Roman" w:hAnsi="Times New Roman" w:cs="Times New Roman" w:eastAsia="Times New Roman"/>
          <w:sz w:val="28"/>
          <w:szCs w:val="28"/>
          <w:lang w:eastAsia="uk-UA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до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uk-UA"/>
        </w:rPr>
        <w:t xml:space="preserve">Положення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про порядок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</w:t>
      </w:r>
      <w:r/>
    </w:p>
    <w:p>
      <w:pPr>
        <w:spacing w:lineRule="auto" w:line="276" w:after="0"/>
        <w:tabs>
          <w:tab w:val="left" w:pos="4820" w:leader="none"/>
        </w:tabs>
        <w:rPr>
          <w:rFonts w:ascii="Times New Roman" w:hAnsi="Times New Roman" w:cs="Times New Roman" w:eastAsia="Times New Roman"/>
          <w:sz w:val="28"/>
          <w:szCs w:val="28"/>
          <w:lang w:eastAsia="uk-UA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ініціювання та подання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</w:t>
      </w:r>
      <w:r/>
    </w:p>
    <w:p>
      <w:pPr>
        <w:spacing w:lineRule="auto" w:line="276" w:after="0"/>
        <w:tabs>
          <w:tab w:val="left" w:pos="4820" w:leader="none"/>
        </w:tabs>
        <w:rPr>
          <w:rFonts w:ascii="Times New Roman" w:hAnsi="Times New Roman" w:cs="Times New Roman" w:eastAsia="Times New Roman"/>
          <w:sz w:val="28"/>
          <w:szCs w:val="28"/>
          <w:lang w:eastAsia="uk-UA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                                                                        проєкт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ів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«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Всеукраїнського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</w:t>
      </w:r>
      <w:r/>
    </w:p>
    <w:p>
      <w:pPr>
        <w:spacing w:lineRule="auto" w:line="276" w:after="0"/>
        <w:tabs>
          <w:tab w:val="left" w:pos="4820" w:leader="none"/>
        </w:tabs>
        <w:rPr>
          <w:rFonts w:ascii="Times New Roman" w:hAnsi="Times New Roman" w:cs="Times New Roman" w:eastAsia="Times New Roman"/>
          <w:sz w:val="28"/>
          <w:szCs w:val="28"/>
          <w:lang w:eastAsia="uk-UA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громадського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бюджету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»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</w:t>
      </w:r>
      <w:r/>
    </w:p>
    <w:p>
      <w:pPr>
        <w:spacing w:lineRule="auto" w:line="276" w:after="0"/>
        <w:rPr>
          <w:rFonts w:ascii="Times New Roman" w:hAnsi="Times New Roman" w:cs="Times New Roman" w:eastAsia="Times New Roman"/>
          <w:sz w:val="28"/>
          <w:szCs w:val="28"/>
          <w:lang w:eastAsia="uk-UA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Чернігівськ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ої</w:t>
      </w:r>
      <w:r>
        <w:rPr>
          <w:rFonts w:ascii="Times New Roman" w:hAnsi="Times New Roman" w:cs="Times New Roman" w:eastAsia="Times New Roman"/>
          <w:sz w:val="28"/>
          <w:szCs w:val="28"/>
          <w:lang w:eastAsia="uk-UA"/>
        </w:rPr>
        <w:t xml:space="preserve"> області</w:t>
      </w:r>
      <w:r/>
    </w:p>
    <w:p>
      <w:pPr>
        <w:spacing w:lineRule="auto" w:line="276" w:after="0"/>
        <w:tabs>
          <w:tab w:val="left" w:pos="5670" w:leader="none"/>
        </w:tabs>
        <w:rPr>
          <w:rFonts w:ascii="Times New Roman" w:hAnsi="Times New Roman" w:cs="Times New Roman" w:eastAsia="Times New Roman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                                                                                 (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підпункт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7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пункту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6 розділу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І</w:t>
      </w:r>
      <w:bookmarkStart w:id="0" w:name="_GoBack"/>
      <w:r/>
      <w:bookmarkEnd w:id="0"/>
      <w:r>
        <w:rPr>
          <w:rFonts w:ascii="Times New Roman" w:hAnsi="Times New Roman" w:cs="Times New Roman" w:eastAsia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)</w:t>
      </w:r>
      <w:r/>
    </w:p>
    <w:p>
      <w:pPr>
        <w:spacing w:after="600"/>
        <w:rPr>
          <w:rFonts w:ascii="Times New Roman" w:hAnsi="Times New Roman" w:cs="Times New Roman" w:eastAsia="Arial"/>
          <w:sz w:val="21"/>
          <w:szCs w:val="21"/>
        </w:rPr>
      </w:pPr>
      <w:r>
        <w:rPr>
          <w:rFonts w:ascii="Times New Roman" w:hAnsi="Times New Roman" w:cs="Times New Roman" w:eastAsia="Arial"/>
          <w:sz w:val="21"/>
          <w:szCs w:val="21"/>
        </w:rPr>
      </w:r>
      <w:r/>
    </w:p>
    <w:p>
      <w:pPr>
        <w:ind w:left="720"/>
        <w:jc w:val="center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 w:eastAsia="Times New Roman"/>
          <w:sz w:val="28"/>
          <w:szCs w:val="28"/>
        </w:rPr>
        <w:t xml:space="preserve">Кошторис* проєкту </w:t>
      </w:r>
      <w:r>
        <w:rPr>
          <w:rFonts w:ascii="Times New Roman" w:hAnsi="Times New Roman" w:cs="Times New Roman" w:eastAsia="Times New Roman"/>
          <w:sz w:val="28"/>
          <w:szCs w:val="28"/>
          <w:lang w:val="ru-RU"/>
        </w:rPr>
        <w:t xml:space="preserve">«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Всеукраїнського громадського бюджету</w:t>
      </w:r>
      <w:r>
        <w:rPr>
          <w:rFonts w:ascii="Times New Roman" w:hAnsi="Times New Roman" w:cs="Times New Roman" w:eastAsia="Times New Roman"/>
          <w:sz w:val="28"/>
          <w:szCs w:val="28"/>
          <w:lang w:val="ru-RU"/>
        </w:rPr>
        <w:t xml:space="preserve">»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Чернігівської області</w:t>
      </w:r>
      <w:r/>
    </w:p>
    <w:p>
      <w:pPr>
        <w:ind w:left="72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6"/>
          <w:szCs w:val="36"/>
        </w:rPr>
      </w:pPr>
      <w:r>
        <w:rPr>
          <w:rFonts w:ascii="Times New Roman" w:hAnsi="Times New Roman" w:cs="Times New Roman" w:eastAsia="Times New Roman"/>
          <w:b/>
          <w:sz w:val="36"/>
          <w:szCs w:val="36"/>
        </w:rPr>
        <w:t xml:space="preserve">«</w:t>
      </w:r>
      <w:r>
        <w:rPr>
          <w:rFonts w:ascii="Times New Roman" w:hAnsi="Times New Roman" w:cs="Times New Roman" w:eastAsia="Times New Roman"/>
          <w:b/>
          <w:sz w:val="36"/>
          <w:szCs w:val="36"/>
          <w:highlight w:val="white"/>
        </w:rPr>
        <w:t xml:space="preserve">___________________</w:t>
      </w:r>
      <w:r>
        <w:rPr>
          <w:rFonts w:ascii="Times New Roman" w:hAnsi="Times New Roman" w:cs="Times New Roman" w:eastAsia="Times New Roman"/>
          <w:b/>
          <w:sz w:val="36"/>
          <w:szCs w:val="36"/>
        </w:rPr>
        <w:t xml:space="preserve">»</w:t>
      </w:r>
      <w:r/>
    </w:p>
    <w:p>
      <w:pPr>
        <w:ind w:left="720"/>
        <w:jc w:val="center"/>
        <w:spacing w:lineRule="auto" w:line="240" w:after="0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z w:val="16"/>
          <w:szCs w:val="16"/>
        </w:rPr>
        <w:t xml:space="preserve">(назва проєкту)</w:t>
      </w:r>
      <w:r/>
    </w:p>
    <w:p>
      <w:pPr>
        <w:ind w:left="72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6"/>
          <w:szCs w:val="36"/>
        </w:rPr>
      </w:pPr>
      <w:r>
        <w:rPr>
          <w:rFonts w:ascii="Times New Roman" w:hAnsi="Times New Roman" w:cs="Times New Roman" w:eastAsia="Times New Roman"/>
          <w:b/>
          <w:sz w:val="36"/>
          <w:szCs w:val="36"/>
        </w:rPr>
      </w:r>
      <w:r/>
    </w:p>
    <w:tbl>
      <w:tblPr>
        <w:tblW w:w="10500" w:type="dxa"/>
        <w:jc w:val="center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880"/>
        <w:gridCol w:w="4360"/>
        <w:gridCol w:w="1900"/>
        <w:gridCol w:w="1640"/>
        <w:gridCol w:w="1720"/>
      </w:tblGrid>
      <w:tr>
        <w:trPr>
          <w:jc w:val="center"/>
        </w:trPr>
        <w:tc>
          <w:tcPr>
            <w:shd w:val="clear" w:color="auto" w:fill="A6A6A6"/>
            <w:tcW w:w="880" w:type="dxa"/>
            <w:vAlign w:val="center"/>
            <w:textDirection w:val="lrTb"/>
            <w:noWrap w:val="false"/>
          </w:tcPr>
          <w:p>
            <w:pPr>
              <w:ind w:hanging="2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№</w:t>
            </w:r>
            <w:r/>
          </w:p>
        </w:tc>
        <w:tc>
          <w:tcPr>
            <w:shd w:val="clear" w:color="auto" w:fill="A6A6A6"/>
            <w:tcW w:w="4360" w:type="dxa"/>
            <w:vAlign w:val="center"/>
            <w:textDirection w:val="lrTb"/>
            <w:noWrap w:val="false"/>
          </w:tcPr>
          <w:p>
            <w:pPr>
              <w:ind w:hanging="71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Назва</w:t>
            </w:r>
            <w:r/>
          </w:p>
        </w:tc>
        <w:tc>
          <w:tcPr>
            <w:shd w:val="clear" w:color="auto" w:fill="A6A6A6"/>
            <w:tcW w:w="190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Кількість</w:t>
            </w:r>
            <w:r/>
          </w:p>
        </w:tc>
        <w:tc>
          <w:tcPr>
            <w:shd w:val="clear" w:color="auto" w:fill="A6A6A6"/>
            <w:tcW w:w="164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Ціна, грн.</w:t>
            </w:r>
            <w:r/>
          </w:p>
        </w:tc>
        <w:tc>
          <w:tcPr>
            <w:shd w:val="clear" w:color="auto" w:fill="A6A6A6"/>
            <w:tcW w:w="172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Сума, грн</w:t>
            </w:r>
            <w:r/>
          </w:p>
        </w:tc>
      </w:tr>
      <w:tr>
        <w:trPr>
          <w:jc w:val="center"/>
          <w:trHeight w:val="280"/>
        </w:trPr>
        <w:tc>
          <w:tcPr>
            <w:gridSpan w:val="5"/>
            <w:shd w:val="clear" w:color="auto" w:fill="auto"/>
            <w:tcW w:w="1050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І. Товари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880" w:type="dxa"/>
            <w:textDirection w:val="lrTb"/>
            <w:noWrap w:val="false"/>
          </w:tcPr>
          <w:p>
            <w:pPr>
              <w:ind w:hanging="2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W w:w="43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90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880" w:type="dxa"/>
            <w:textDirection w:val="lrTb"/>
            <w:noWrap w:val="false"/>
          </w:tcPr>
          <w:p>
            <w:pPr>
              <w:ind w:hanging="2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W w:w="43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90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  <w:trHeight w:val="280"/>
        </w:trPr>
        <w:tc>
          <w:tcPr>
            <w:gridSpan w:val="4"/>
            <w:shd w:val="clear" w:color="auto" w:fill="auto"/>
            <w:tcW w:w="8780" w:type="dxa"/>
            <w:textDirection w:val="lrTb"/>
            <w:noWrap w:val="false"/>
          </w:tcPr>
          <w:p>
            <w:pPr>
              <w:ind w:hanging="29"/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Всього за розділом І</w:t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  <w:trHeight w:val="280"/>
        </w:trPr>
        <w:tc>
          <w:tcPr>
            <w:gridSpan w:val="5"/>
            <w:shd w:val="clear" w:color="auto" w:fill="auto"/>
            <w:tcW w:w="1050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ІІ. Роботи та послуги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880" w:type="dxa"/>
            <w:textDirection w:val="lrTb"/>
            <w:noWrap w:val="false"/>
          </w:tcPr>
          <w:p>
            <w:pPr>
              <w:ind w:hanging="2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shd w:val="clear" w:color="auto" w:fill="auto"/>
            <w:tcW w:w="43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90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ind w:hanging="719"/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880" w:type="dxa"/>
            <w:textDirection w:val="lrTb"/>
            <w:noWrap w:val="false"/>
          </w:tcPr>
          <w:p>
            <w:pPr>
              <w:ind w:hanging="29"/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shd w:val="clear" w:color="auto" w:fill="auto"/>
            <w:tcW w:w="436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90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tcW w:w="1640" w:type="dxa"/>
            <w:textDirection w:val="lrTb"/>
            <w:noWrap w:val="false"/>
          </w:tcPr>
          <w:p>
            <w:pPr>
              <w:ind w:hanging="719"/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  <w:trHeight w:val="280"/>
        </w:trPr>
        <w:tc>
          <w:tcPr>
            <w:gridSpan w:val="4"/>
            <w:shd w:val="clear" w:color="auto" w:fill="auto"/>
            <w:tcW w:w="8780" w:type="dxa"/>
            <w:textDirection w:val="lrTb"/>
            <w:noWrap w:val="false"/>
          </w:tcPr>
          <w:p>
            <w:pPr>
              <w:ind w:hanging="29"/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Всього за розділом ІІ</w:t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gridSpan w:val="4"/>
            <w:shd w:val="clear" w:color="auto" w:fill="auto"/>
            <w:tcW w:w="878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Всього за розділом І+ІІ:</w:t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gridSpan w:val="4"/>
            <w:shd w:val="clear" w:color="auto" w:fill="auto"/>
            <w:tcW w:w="878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Резерв 20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% (в рахунок послуг, п.1)</w:t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/>
          </w:p>
        </w:tc>
      </w:tr>
      <w:tr>
        <w:trPr>
          <w:jc w:val="center"/>
        </w:trPr>
        <w:tc>
          <w:tcPr>
            <w:gridSpan w:val="4"/>
            <w:shd w:val="clear" w:color="auto" w:fill="auto"/>
            <w:tcW w:w="878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  <w:t xml:space="preserve">РАЗОМ</w:t>
            </w:r>
            <w:r/>
          </w:p>
        </w:tc>
        <w:tc>
          <w:tcPr>
            <w:shd w:val="clear" w:color="auto" w:fill="auto"/>
            <w:tcW w:w="1720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Arial"/>
          <w:sz w:val="21"/>
          <w:szCs w:val="21"/>
        </w:rPr>
      </w:pPr>
      <w:r>
        <w:rPr>
          <w:rFonts w:ascii="Times New Roman" w:hAnsi="Times New Roman" w:cs="Times New Roman" w:eastAsia="Arial"/>
          <w:sz w:val="21"/>
          <w:szCs w:val="21"/>
        </w:rPr>
      </w:r>
      <w:r/>
    </w:p>
    <w:p>
      <w:pPr>
        <w:jc w:val="both"/>
        <w:spacing w:after="600"/>
        <w:rPr>
          <w:rFonts w:ascii="Times New Roman" w:hAnsi="Times New Roman" w:cs="Times New Roman" w:eastAsia="Arial"/>
          <w:sz w:val="21"/>
          <w:szCs w:val="21"/>
        </w:rPr>
      </w:pPr>
      <w:r>
        <w:rPr>
          <w:rFonts w:ascii="Times New Roman" w:hAnsi="Times New Roman" w:cs="Times New Roman" w:eastAsia="Arial"/>
          <w:sz w:val="21"/>
          <w:szCs w:val="21"/>
        </w:rPr>
        <w:t xml:space="preserve">* До загального бюджету проєкту включаються всі види робіт, які необхідно здійснити для реалізації проєкту (передпроєктні дослідження, розробка проєктно-кошторисної документації, виконання робіт, закупівля матеріалів, обладнання, технічний нагляд, авторськи</w:t>
      </w:r>
      <w:r>
        <w:rPr>
          <w:rFonts w:ascii="Times New Roman" w:hAnsi="Times New Roman" w:cs="Times New Roman" w:eastAsia="Arial"/>
          <w:sz w:val="21"/>
          <w:szCs w:val="21"/>
        </w:rPr>
        <w:t xml:space="preserve">й нагляд та інше).</w:t>
      </w:r>
      <w:r>
        <w:rPr>
          <w:rFonts w:ascii="Times New Roman" w:hAnsi="Times New Roman" w:cs="Times New Roman" w:eastAsia="Arial"/>
          <w:sz w:val="21"/>
          <w:szCs w:val="21"/>
        </w:rPr>
        <w:br/>
        <w:t xml:space="preserve">Кошторис завантажується ініціатором проєкту в електронну систему у вигляді окремого файлу, як додаток.</w:t>
      </w:r>
      <w:r/>
    </w:p>
    <w:sectPr>
      <w:headerReference w:type="default" r:id="rId8"/>
      <w:footnotePr/>
      <w:type w:val="nextPage"/>
      <w:pgSz w:w="11906" w:h="16838"/>
      <w:pgMar w:top="1134" w:right="567" w:bottom="1134" w:left="1701" w:gutter="0" w:header="708" w:footer="708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7521103"/>
      <w:docPartObj>
        <w:docPartGallery w:val="Page Numbers (Top of Page)"/>
        <w:docPartUnique w:val="true"/>
      </w:docPartObj>
    </w:sdtPr>
    <w:sdtContent>
      <w:p>
        <w:pPr>
          <w:pStyle w:val="18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18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)"/>
      <w:lvlJc w:val="left"/>
      <w:pPr>
        <w:ind w:left="720" w:hanging="359"/>
      </w:pPr>
      <w:rPr>
        <w:u w:val="none"/>
      </w:rPr>
    </w:lvl>
    <w:lvl w:ilvl="1">
      <w:start w:val="1"/>
      <w:numFmt w:val="lowerLetter"/>
      <w:suff w:val="tab"/>
      <w:lvlText w:val="%2)"/>
      <w:lvlJc w:val="left"/>
      <w:pPr>
        <w:ind w:left="1440" w:hanging="359"/>
      </w:pPr>
      <w:rPr>
        <w:u w:val="none"/>
      </w:rPr>
    </w:lvl>
    <w:lvl w:ilvl="2">
      <w:start w:val="1"/>
      <w:numFmt w:val="lowerRoman"/>
      <w:suff w:val="tab"/>
      <w:lvlText w:val="%3)"/>
      <w:lvlJc w:val="right"/>
      <w:pPr>
        <w:ind w:left="2160" w:hanging="359"/>
      </w:pPr>
      <w:rPr>
        <w:u w:val="none"/>
      </w:rPr>
    </w:lvl>
    <w:lvl w:ilvl="3">
      <w:start w:val="1"/>
      <w:numFmt w:val="decimal"/>
      <w:suff w:val="tab"/>
      <w:lvlText w:val="(%4)"/>
      <w:lvlJc w:val="left"/>
      <w:pPr>
        <w:ind w:left="2880" w:hanging="359"/>
      </w:pPr>
      <w:rPr>
        <w:u w:val="none"/>
      </w:rPr>
    </w:lvl>
    <w:lvl w:ilvl="4">
      <w:start w:val="1"/>
      <w:numFmt w:val="lowerLetter"/>
      <w:suff w:val="tab"/>
      <w:lvlText w:val="(%5)"/>
      <w:lvlJc w:val="left"/>
      <w:pPr>
        <w:ind w:left="3600" w:hanging="359"/>
      </w:pPr>
      <w:rPr>
        <w:u w:val="none"/>
      </w:rPr>
    </w:lvl>
    <w:lvl w:ilvl="5">
      <w:start w:val="1"/>
      <w:numFmt w:val="lowerRoman"/>
      <w:suff w:val="tab"/>
      <w:lvlText w:val="(%6)"/>
      <w:lvlJc w:val="right"/>
      <w:pPr>
        <w:ind w:left="4320" w:hanging="359"/>
      </w:pPr>
      <w:rPr>
        <w:u w:val="none"/>
      </w:rPr>
    </w:lvl>
    <w:lvl w:ilvl="6">
      <w:start w:val="1"/>
      <w:numFmt w:val="decimal"/>
      <w:suff w:val="tab"/>
      <w:lvlText w:val="%7."/>
      <w:lvlJc w:val="left"/>
      <w:pPr>
        <w:ind w:left="5040" w:hanging="359"/>
      </w:pPr>
      <w:rPr>
        <w:u w:val="none"/>
      </w:rPr>
    </w:lvl>
    <w:lvl w:ilvl="7">
      <w:start w:val="1"/>
      <w:numFmt w:val="lowerLetter"/>
      <w:suff w:val="tab"/>
      <w:lvlText w:val="%8."/>
      <w:lvlJc w:val="left"/>
      <w:pPr>
        <w:ind w:left="5760" w:hanging="359"/>
      </w:pPr>
      <w:rPr>
        <w:u w:val="none"/>
      </w:rPr>
    </w:lvl>
    <w:lvl w:ilvl="8">
      <w:start w:val="1"/>
      <w:numFmt w:val="lowerRoman"/>
      <w:suff w:val="tab"/>
      <w:lvlText w:val="%9."/>
      <w:lvlJc w:val="right"/>
      <w:pPr>
        <w:ind w:left="6480" w:hanging="359"/>
      </w:pPr>
      <w:rPr>
        <w:u w:val="none"/>
      </w:rPr>
    </w:lvl>
  </w:abstractNum>
  <w:abstractNum w:abstractNumId="1">
    <w:multiLevelType w:val="hybridMultilevel"/>
    <w:lvl w:ilvl="0">
      <w:start w:val="1"/>
      <w:numFmt w:val="decimal"/>
      <w:suff w:val="tab"/>
      <w:lvlText w:val="%1)"/>
      <w:lvlJc w:val="left"/>
      <w:pPr>
        <w:ind w:left="720" w:hanging="359"/>
      </w:pPr>
      <w:rPr>
        <w:u w:val="none"/>
      </w:rPr>
    </w:lvl>
    <w:lvl w:ilvl="1">
      <w:start w:val="1"/>
      <w:numFmt w:val="lowerLetter"/>
      <w:suff w:val="tab"/>
      <w:lvlText w:val="%2)"/>
      <w:lvlJc w:val="left"/>
      <w:pPr>
        <w:ind w:left="1440" w:hanging="359"/>
      </w:pPr>
      <w:rPr>
        <w:u w:val="none"/>
      </w:rPr>
    </w:lvl>
    <w:lvl w:ilvl="2">
      <w:start w:val="1"/>
      <w:numFmt w:val="lowerRoman"/>
      <w:suff w:val="tab"/>
      <w:lvlText w:val="%3)"/>
      <w:lvlJc w:val="right"/>
      <w:pPr>
        <w:ind w:left="2160" w:hanging="359"/>
      </w:pPr>
      <w:rPr>
        <w:u w:val="none"/>
      </w:rPr>
    </w:lvl>
    <w:lvl w:ilvl="3">
      <w:start w:val="1"/>
      <w:numFmt w:val="decimal"/>
      <w:suff w:val="tab"/>
      <w:lvlText w:val="(%4)"/>
      <w:lvlJc w:val="left"/>
      <w:pPr>
        <w:ind w:left="2880" w:hanging="359"/>
      </w:pPr>
      <w:rPr>
        <w:u w:val="none"/>
      </w:rPr>
    </w:lvl>
    <w:lvl w:ilvl="4">
      <w:start w:val="1"/>
      <w:numFmt w:val="lowerLetter"/>
      <w:suff w:val="tab"/>
      <w:lvlText w:val="(%5)"/>
      <w:lvlJc w:val="left"/>
      <w:pPr>
        <w:ind w:left="3600" w:hanging="359"/>
      </w:pPr>
      <w:rPr>
        <w:u w:val="none"/>
      </w:rPr>
    </w:lvl>
    <w:lvl w:ilvl="5">
      <w:start w:val="1"/>
      <w:numFmt w:val="lowerRoman"/>
      <w:suff w:val="tab"/>
      <w:lvlText w:val="(%6)"/>
      <w:lvlJc w:val="right"/>
      <w:pPr>
        <w:ind w:left="4320" w:hanging="359"/>
      </w:pPr>
      <w:rPr>
        <w:u w:val="none"/>
      </w:rPr>
    </w:lvl>
    <w:lvl w:ilvl="6">
      <w:start w:val="1"/>
      <w:numFmt w:val="decimal"/>
      <w:suff w:val="tab"/>
      <w:lvlText w:val="%7."/>
      <w:lvlJc w:val="left"/>
      <w:pPr>
        <w:ind w:left="5040" w:hanging="359"/>
      </w:pPr>
      <w:rPr>
        <w:u w:val="none"/>
      </w:rPr>
    </w:lvl>
    <w:lvl w:ilvl="7">
      <w:start w:val="1"/>
      <w:numFmt w:val="lowerLetter"/>
      <w:suff w:val="tab"/>
      <w:lvlText w:val="%8."/>
      <w:lvlJc w:val="left"/>
      <w:pPr>
        <w:ind w:left="5760" w:hanging="359"/>
      </w:pPr>
      <w:rPr>
        <w:u w:val="none"/>
      </w:rPr>
    </w:lvl>
    <w:lvl w:ilvl="8">
      <w:start w:val="1"/>
      <w:numFmt w:val="lowerRoman"/>
      <w:suff w:val="tab"/>
      <w:lvlText w:val="%9."/>
      <w:lvlJc w:val="right"/>
      <w:pPr>
        <w:ind w:left="6480" w:hanging="359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uk-UA" w:bidi="ar-SA" w:eastAsia="en-US"/>
      </w:rPr>
    </w:rPrDefault>
    <w:pPrDefault>
      <w:pPr>
        <w:ind w:left="0" w:right="0" w:hanging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82"/>
    <w:next w:val="182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183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182"/>
    <w:next w:val="182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183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182"/>
    <w:next w:val="18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183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82"/>
    <w:next w:val="18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183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82"/>
    <w:next w:val="18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183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82"/>
    <w:next w:val="18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183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82"/>
    <w:next w:val="18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183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82"/>
    <w:next w:val="18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183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82"/>
    <w:next w:val="18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183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182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182"/>
    <w:next w:val="18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183"/>
    <w:link w:val="32"/>
    <w:uiPriority w:val="10"/>
    <w:rPr>
      <w:sz w:val="48"/>
      <w:szCs w:val="48"/>
    </w:rPr>
  </w:style>
  <w:style w:type="paragraph" w:styleId="34">
    <w:name w:val="Subtitle"/>
    <w:basedOn w:val="182"/>
    <w:next w:val="18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183"/>
    <w:link w:val="34"/>
    <w:uiPriority w:val="11"/>
    <w:rPr>
      <w:sz w:val="24"/>
      <w:szCs w:val="24"/>
    </w:rPr>
  </w:style>
  <w:style w:type="paragraph" w:styleId="36">
    <w:name w:val="Quote"/>
    <w:basedOn w:val="182"/>
    <w:next w:val="18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82"/>
    <w:next w:val="18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183"/>
    <w:link w:val="186"/>
    <w:uiPriority w:val="99"/>
  </w:style>
  <w:style w:type="character" w:styleId="43">
    <w:name w:val="Footer Char"/>
    <w:basedOn w:val="183"/>
    <w:link w:val="188"/>
    <w:uiPriority w:val="99"/>
  </w:style>
  <w:style w:type="table" w:styleId="44">
    <w:name w:val="Table Grid"/>
    <w:basedOn w:val="18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1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1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182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183"/>
    <w:uiPriority w:val="99"/>
    <w:unhideWhenUsed/>
    <w:rPr>
      <w:vertAlign w:val="superscript"/>
    </w:rPr>
  </w:style>
  <w:style w:type="paragraph" w:styleId="70">
    <w:name w:val="toc 1"/>
    <w:basedOn w:val="182"/>
    <w:next w:val="182"/>
    <w:uiPriority w:val="39"/>
    <w:unhideWhenUsed/>
    <w:pPr>
      <w:ind w:left="0" w:right="0" w:hanging="0"/>
      <w:spacing w:after="57"/>
    </w:pPr>
  </w:style>
  <w:style w:type="paragraph" w:styleId="71">
    <w:name w:val="toc 2"/>
    <w:basedOn w:val="182"/>
    <w:next w:val="182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82"/>
    <w:next w:val="182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82"/>
    <w:next w:val="182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82"/>
    <w:next w:val="182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82"/>
    <w:next w:val="182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82"/>
    <w:next w:val="182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82"/>
    <w:next w:val="182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82"/>
    <w:next w:val="182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82" w:default="1">
    <w:name w:val="Normal"/>
    <w:qFormat/>
  </w:style>
  <w:style w:type="character" w:styleId="183" w:default="1">
    <w:name w:val="Default Paragraph Font"/>
    <w:uiPriority w:val="1"/>
    <w:semiHidden/>
    <w:unhideWhenUsed/>
  </w:style>
  <w:style w:type="table" w:styleId="1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85" w:default="1">
    <w:name w:val="No List"/>
    <w:uiPriority w:val="99"/>
    <w:semiHidden/>
    <w:unhideWhenUsed/>
  </w:style>
  <w:style w:type="paragraph" w:styleId="186">
    <w:name w:val="Header"/>
    <w:basedOn w:val="182"/>
    <w:link w:val="18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87" w:customStyle="1">
    <w:name w:val="Верхний колонтитул Знак"/>
    <w:basedOn w:val="183"/>
    <w:link w:val="186"/>
    <w:uiPriority w:val="99"/>
  </w:style>
  <w:style w:type="paragraph" w:styleId="188">
    <w:name w:val="Footer"/>
    <w:basedOn w:val="182"/>
    <w:link w:val="189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189" w:customStyle="1">
    <w:name w:val="Нижний колонтитул Знак"/>
    <w:basedOn w:val="183"/>
    <w:link w:val="188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ONLYOFFICE/5.2.8.24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