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207" w:type="dxa"/>
        <w:tblInd w:w="-743" w:type="dxa"/>
        <w:tblLook w:val="04A0"/>
      </w:tblPr>
      <w:tblGrid>
        <w:gridCol w:w="10207"/>
      </w:tblGrid>
      <w:tr w:rsidR="00373912" w:rsidRPr="00DA2D64" w:rsidTr="00615FDD">
        <w:trPr>
          <w:trHeight w:val="15302"/>
        </w:trPr>
        <w:tc>
          <w:tcPr>
            <w:tcW w:w="10207" w:type="dxa"/>
          </w:tcPr>
          <w:p w:rsidR="00373912" w:rsidRPr="00560996" w:rsidRDefault="00373912" w:rsidP="00373912">
            <w:pPr>
              <w:jc w:val="center"/>
              <w:rPr>
                <w:rFonts w:ascii="Times New Roman" w:hAnsi="Times New Roman" w:cs="Times New Roman"/>
                <w:b/>
                <w:sz w:val="20"/>
                <w:szCs w:val="20"/>
                <w:lang w:val="uk-UA"/>
              </w:rPr>
            </w:pPr>
            <w:r w:rsidRPr="00560996">
              <w:rPr>
                <w:rFonts w:ascii="Times New Roman" w:hAnsi="Times New Roman" w:cs="Times New Roman"/>
                <w:b/>
                <w:sz w:val="20"/>
                <w:szCs w:val="20"/>
                <w:lang w:val="uk-UA"/>
              </w:rPr>
              <w:t>Городнянське районне управління</w:t>
            </w:r>
          </w:p>
          <w:p w:rsidR="00373912" w:rsidRPr="00560996" w:rsidRDefault="00373912" w:rsidP="00373912">
            <w:pPr>
              <w:jc w:val="center"/>
              <w:rPr>
                <w:rFonts w:ascii="Times New Roman" w:hAnsi="Times New Roman" w:cs="Times New Roman"/>
                <w:b/>
                <w:sz w:val="20"/>
                <w:szCs w:val="20"/>
                <w:lang w:val="uk-UA"/>
              </w:rPr>
            </w:pPr>
            <w:r w:rsidRPr="00560996">
              <w:rPr>
                <w:rFonts w:ascii="Times New Roman" w:hAnsi="Times New Roman" w:cs="Times New Roman"/>
                <w:b/>
                <w:sz w:val="20"/>
                <w:szCs w:val="20"/>
                <w:lang w:val="uk-UA"/>
              </w:rPr>
              <w:t>Головного  управління Держпродспоживслужби в Чернігівській області</w:t>
            </w:r>
          </w:p>
          <w:p w:rsidR="00DA2D64" w:rsidRPr="00521F88" w:rsidRDefault="00DA2D64" w:rsidP="00DA2D64">
            <w:pPr>
              <w:shd w:val="clear" w:color="auto" w:fill="FFFFFF"/>
              <w:spacing w:before="150" w:after="150" w:line="240" w:lineRule="atLeast"/>
              <w:ind w:right="225"/>
              <w:jc w:val="center"/>
              <w:outlineLvl w:val="1"/>
              <w:rPr>
                <w:rFonts w:ascii="Monotype Corsiva" w:eastAsia="Times New Roman" w:hAnsi="Monotype Corsiva" w:cs="Times New Roman"/>
                <w:b/>
                <w:bCs/>
                <w:color w:val="943634" w:themeColor="accent2" w:themeShade="BF"/>
                <w:sz w:val="40"/>
                <w:szCs w:val="40"/>
                <w:lang w:val="uk-UA" w:eastAsia="ru-RU"/>
              </w:rPr>
            </w:pPr>
            <w:r w:rsidRPr="00521F88">
              <w:rPr>
                <w:rFonts w:ascii="Monotype Corsiva" w:eastAsia="Times New Roman" w:hAnsi="Monotype Corsiva" w:cs="Times New Roman"/>
                <w:b/>
                <w:bCs/>
                <w:color w:val="943634" w:themeColor="accent2" w:themeShade="BF"/>
                <w:sz w:val="40"/>
                <w:szCs w:val="40"/>
                <w:lang w:val="uk-UA" w:eastAsia="ru-RU"/>
              </w:rPr>
              <w:t>Пам’ятка для населення щодо профілактики ботулізму</w:t>
            </w:r>
          </w:p>
          <w:p w:rsidR="00DA2D64" w:rsidRPr="00DA2D64" w:rsidRDefault="00DA2D64" w:rsidP="00373912">
            <w:pPr>
              <w:jc w:val="center"/>
              <w:rPr>
                <w:rFonts w:ascii="Times New Roman" w:hAnsi="Times New Roman" w:cs="Times New Roman"/>
                <w:b/>
                <w:sz w:val="24"/>
                <w:szCs w:val="24"/>
                <w:lang w:val="uk-UA"/>
              </w:rPr>
            </w:pPr>
          </w:p>
          <w:p w:rsidR="00373912" w:rsidRPr="00DA2D64" w:rsidRDefault="00373912">
            <w:pPr>
              <w:rPr>
                <w:rFonts w:ascii="Times New Roman" w:hAnsi="Times New Roman" w:cs="Times New Roman"/>
                <w:sz w:val="24"/>
                <w:szCs w:val="24"/>
                <w:lang w:val="uk-UA"/>
              </w:rPr>
            </w:pPr>
          </w:p>
          <w:p w:rsidR="00521F88" w:rsidRPr="00521F88" w:rsidRDefault="00521F88" w:rsidP="00DA2D64">
            <w:pPr>
              <w:shd w:val="clear" w:color="auto" w:fill="FFFFFF"/>
              <w:ind w:left="225" w:right="225"/>
              <w:jc w:val="both"/>
              <w:rPr>
                <w:rFonts w:ascii="Times New Roman" w:eastAsia="Times New Roman" w:hAnsi="Times New Roman" w:cs="Times New Roman"/>
                <w:color w:val="666666"/>
                <w:sz w:val="24"/>
                <w:szCs w:val="24"/>
                <w:lang w:val="uk-UA" w:eastAsia="ru-RU"/>
              </w:rPr>
            </w:pPr>
            <w:r w:rsidRPr="00DA2D64">
              <w:rPr>
                <w:rFonts w:ascii="Times New Roman" w:eastAsia="Times New Roman" w:hAnsi="Times New Roman" w:cs="Times New Roman"/>
                <w:b/>
                <w:noProof/>
                <w:color w:val="943634" w:themeColor="accent2" w:themeShade="BF"/>
                <w:sz w:val="24"/>
                <w:szCs w:val="24"/>
                <w:lang w:eastAsia="ru-RU"/>
              </w:rPr>
              <w:drawing>
                <wp:anchor distT="0" distB="0" distL="114300" distR="114300" simplePos="0" relativeHeight="251658240" behindDoc="0" locked="0" layoutInCell="1" allowOverlap="1">
                  <wp:simplePos x="0" y="0"/>
                  <wp:positionH relativeFrom="column">
                    <wp:posOffset>146050</wp:posOffset>
                  </wp:positionH>
                  <wp:positionV relativeFrom="paragraph">
                    <wp:posOffset>-1905</wp:posOffset>
                  </wp:positionV>
                  <wp:extent cx="1912620" cy="1143000"/>
                  <wp:effectExtent l="0" t="0" r="0" b="0"/>
                  <wp:wrapSquare wrapText="bothSides"/>
                  <wp:docPr id="3" name="Рисунок 3" descr="botulizm">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tulizm">
                            <a:hlinkClick r:id="rId6"/>
                          </pic:cNvPr>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12620" cy="1143000"/>
                          </a:xfrm>
                          <a:prstGeom prst="rect">
                            <a:avLst/>
                          </a:prstGeom>
                          <a:noFill/>
                          <a:ln>
                            <a:noFill/>
                          </a:ln>
                        </pic:spPr>
                      </pic:pic>
                    </a:graphicData>
                  </a:graphic>
                </wp:anchor>
              </w:drawing>
            </w:r>
            <w:r w:rsidRPr="00521F88">
              <w:rPr>
                <w:rFonts w:ascii="Times New Roman" w:eastAsia="Times New Roman" w:hAnsi="Times New Roman" w:cs="Times New Roman"/>
                <w:b/>
                <w:color w:val="943634" w:themeColor="accent2" w:themeShade="BF"/>
                <w:sz w:val="24"/>
                <w:szCs w:val="24"/>
                <w:lang w:val="uk-UA" w:eastAsia="ru-RU"/>
              </w:rPr>
              <w:t>Ботулізм</w:t>
            </w:r>
            <w:r w:rsidRPr="00521F88">
              <w:rPr>
                <w:rFonts w:ascii="Times New Roman" w:eastAsia="Times New Roman" w:hAnsi="Times New Roman" w:cs="Times New Roman"/>
                <w:color w:val="000000"/>
                <w:sz w:val="24"/>
                <w:szCs w:val="24"/>
                <w:lang w:val="uk-UA" w:eastAsia="ru-RU"/>
              </w:rPr>
              <w:t xml:space="preserve"> – гостра токсикоінфекція, викликана паличкою </w:t>
            </w:r>
            <w:proofErr w:type="spellStart"/>
            <w:r w:rsidRPr="00521F88">
              <w:rPr>
                <w:rFonts w:ascii="Times New Roman" w:eastAsia="Times New Roman" w:hAnsi="Times New Roman" w:cs="Times New Roman"/>
                <w:color w:val="000000"/>
                <w:sz w:val="24"/>
                <w:szCs w:val="24"/>
                <w:lang w:val="uk-UA" w:eastAsia="ru-RU"/>
              </w:rPr>
              <w:t>Clostridium</w:t>
            </w:r>
            <w:proofErr w:type="spellEnd"/>
            <w:r w:rsidRPr="00521F88">
              <w:rPr>
                <w:rFonts w:ascii="Times New Roman" w:eastAsia="Times New Roman" w:hAnsi="Times New Roman" w:cs="Times New Roman"/>
                <w:color w:val="000000"/>
                <w:sz w:val="24"/>
                <w:szCs w:val="24"/>
                <w:lang w:val="uk-UA" w:eastAsia="ru-RU"/>
              </w:rPr>
              <w:t xml:space="preserve"> </w:t>
            </w:r>
            <w:proofErr w:type="spellStart"/>
            <w:r w:rsidRPr="00521F88">
              <w:rPr>
                <w:rFonts w:ascii="Times New Roman" w:eastAsia="Times New Roman" w:hAnsi="Times New Roman" w:cs="Times New Roman"/>
                <w:color w:val="000000"/>
                <w:sz w:val="24"/>
                <w:szCs w:val="24"/>
                <w:lang w:val="uk-UA" w:eastAsia="ru-RU"/>
              </w:rPr>
              <w:t>botulinum</w:t>
            </w:r>
            <w:proofErr w:type="spellEnd"/>
            <w:r w:rsidRPr="00521F88">
              <w:rPr>
                <w:rFonts w:ascii="Times New Roman" w:eastAsia="Times New Roman" w:hAnsi="Times New Roman" w:cs="Times New Roman"/>
                <w:color w:val="000000"/>
                <w:sz w:val="24"/>
                <w:szCs w:val="24"/>
                <w:lang w:val="uk-UA" w:eastAsia="ru-RU"/>
              </w:rPr>
              <w:t xml:space="preserve"> та її токсином, що міститься в неправильно приготовлених і збережених консервах. Це досить важке захворювання </w:t>
            </w:r>
            <w:proofErr w:type="spellStart"/>
            <w:r w:rsidRPr="00521F88">
              <w:rPr>
                <w:rFonts w:ascii="Times New Roman" w:eastAsia="Times New Roman" w:hAnsi="Times New Roman" w:cs="Times New Roman"/>
                <w:color w:val="000000"/>
                <w:sz w:val="24"/>
                <w:szCs w:val="24"/>
                <w:lang w:val="uk-UA" w:eastAsia="ru-RU"/>
              </w:rPr>
              <w:t>токсикоінфекційного</w:t>
            </w:r>
            <w:proofErr w:type="spellEnd"/>
            <w:r w:rsidRPr="00521F88">
              <w:rPr>
                <w:rFonts w:ascii="Times New Roman" w:eastAsia="Times New Roman" w:hAnsi="Times New Roman" w:cs="Times New Roman"/>
                <w:color w:val="000000"/>
                <w:sz w:val="24"/>
                <w:szCs w:val="24"/>
                <w:lang w:val="uk-UA" w:eastAsia="ru-RU"/>
              </w:rPr>
              <w:t xml:space="preserve"> характеру, особливості перебігу якого призводять до ураження нервової системи, спинного та довгастого мозку, а також до розвитку гострої і прогресуючої дихальної недостатності. В результаті відсутності належного лікування ботулізму не виключається настання летального результату.</w:t>
            </w:r>
          </w:p>
          <w:p w:rsidR="00521F88" w:rsidRPr="00DA2D64" w:rsidRDefault="00615FDD" w:rsidP="00DA2D64">
            <w:pPr>
              <w:shd w:val="clear" w:color="auto" w:fill="FFFFFF"/>
              <w:ind w:left="225" w:right="225"/>
              <w:jc w:val="both"/>
              <w:rPr>
                <w:rFonts w:ascii="Times New Roman" w:eastAsia="Times New Roman" w:hAnsi="Times New Roman" w:cs="Times New Roman"/>
                <w:color w:val="000000"/>
                <w:sz w:val="24"/>
                <w:szCs w:val="24"/>
                <w:lang w:val="uk-UA" w:eastAsia="ru-RU"/>
              </w:rPr>
            </w:pPr>
            <w:r w:rsidRPr="00DA2D64">
              <w:rPr>
                <w:rFonts w:ascii="Times New Roman" w:eastAsia="Times New Roman" w:hAnsi="Times New Roman" w:cs="Times New Roman"/>
                <w:color w:val="000000"/>
                <w:sz w:val="24"/>
                <w:szCs w:val="24"/>
                <w:lang w:val="uk-UA" w:eastAsia="ru-RU"/>
              </w:rPr>
              <w:t xml:space="preserve">      </w:t>
            </w:r>
            <w:r w:rsidR="00521F88" w:rsidRPr="00521F88">
              <w:rPr>
                <w:rFonts w:ascii="Times New Roman" w:eastAsia="Times New Roman" w:hAnsi="Times New Roman" w:cs="Times New Roman"/>
                <w:color w:val="000000"/>
                <w:sz w:val="24"/>
                <w:szCs w:val="24"/>
                <w:lang w:val="uk-UA" w:eastAsia="ru-RU"/>
              </w:rPr>
              <w:t> Збудники ботулізму широко поширені в природі. Вегетативні форми і спори виявляються в кишечнику різних домашніх і особливо диких тварин, водоплавних птахів, риб. Потрапляючи у зовнішнє середовище (ґрунт, мул озер і річок), спори довгостроково зберігаються і накопичуються. Практично всі харчові продукти, забруднені ґрунтом або вмістом кишечника тварин, птахів, риб можуть містити спори або вегетативні форми збудників ботулізму. Проте захворювання може виникнути тільки при вживанні тих, які зберігалися при анаеробних або близьких до анаеробних умовах без попередньої достатньої термічної обробки.</w:t>
            </w:r>
          </w:p>
          <w:p w:rsidR="00615FDD" w:rsidRPr="00521F88" w:rsidRDefault="00615FDD" w:rsidP="00DA2D64">
            <w:pPr>
              <w:shd w:val="clear" w:color="auto" w:fill="FFFFFF"/>
              <w:ind w:left="225" w:right="225"/>
              <w:jc w:val="both"/>
              <w:rPr>
                <w:rFonts w:ascii="Verdana" w:eastAsia="Times New Roman" w:hAnsi="Verdana" w:cs="Times New Roman"/>
                <w:color w:val="000000"/>
                <w:sz w:val="24"/>
                <w:szCs w:val="24"/>
                <w:lang w:val="uk-UA" w:eastAsia="ru-RU"/>
              </w:rPr>
            </w:pPr>
            <w:r w:rsidRPr="00DA2D64">
              <w:rPr>
                <w:rFonts w:ascii="Verdana" w:eastAsia="Times New Roman" w:hAnsi="Verdana" w:cs="Times New Roman"/>
                <w:noProof/>
                <w:color w:val="000000"/>
                <w:sz w:val="24"/>
                <w:szCs w:val="24"/>
                <w:lang w:eastAsia="ru-RU"/>
              </w:rPr>
              <w:drawing>
                <wp:anchor distT="0" distB="0" distL="114300" distR="114300" simplePos="0" relativeHeight="251659264" behindDoc="0" locked="0" layoutInCell="1" allowOverlap="1">
                  <wp:simplePos x="0" y="0"/>
                  <wp:positionH relativeFrom="column">
                    <wp:posOffset>237490</wp:posOffset>
                  </wp:positionH>
                  <wp:positionV relativeFrom="paragraph">
                    <wp:posOffset>120650</wp:posOffset>
                  </wp:positionV>
                  <wp:extent cx="1729740" cy="1409700"/>
                  <wp:effectExtent l="0" t="0" r="3810" b="0"/>
                  <wp:wrapSquare wrapText="bothSides"/>
                  <wp:docPr id="2" name="Рисунок 2" descr="73_4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3_49">
                            <a:hlinkClick r:id="rId8"/>
                          </pic:cNvPr>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29740" cy="1409700"/>
                          </a:xfrm>
                          <a:prstGeom prst="rect">
                            <a:avLst/>
                          </a:prstGeom>
                          <a:noFill/>
                          <a:ln>
                            <a:noFill/>
                          </a:ln>
                        </pic:spPr>
                      </pic:pic>
                    </a:graphicData>
                  </a:graphic>
                </wp:anchor>
              </w:drawing>
            </w:r>
          </w:p>
          <w:p w:rsidR="00521F88" w:rsidRPr="00521F88" w:rsidRDefault="00615FDD" w:rsidP="00DA2D64">
            <w:pPr>
              <w:shd w:val="clear" w:color="auto" w:fill="FFFFFF"/>
              <w:ind w:left="225" w:right="225"/>
              <w:jc w:val="both"/>
              <w:rPr>
                <w:rFonts w:ascii="Times New Roman" w:eastAsia="Times New Roman" w:hAnsi="Times New Roman" w:cs="Times New Roman"/>
                <w:color w:val="666666"/>
                <w:sz w:val="24"/>
                <w:szCs w:val="24"/>
                <w:lang w:val="uk-UA" w:eastAsia="ru-RU"/>
              </w:rPr>
            </w:pPr>
            <w:r w:rsidRPr="00DA2D64">
              <w:rPr>
                <w:rFonts w:ascii="Times New Roman" w:eastAsia="Times New Roman" w:hAnsi="Times New Roman" w:cs="Times New Roman"/>
                <w:color w:val="000000"/>
                <w:sz w:val="24"/>
                <w:szCs w:val="24"/>
                <w:lang w:val="uk-UA" w:eastAsia="ru-RU"/>
              </w:rPr>
              <w:t xml:space="preserve">    Це</w:t>
            </w:r>
            <w:r w:rsidR="00DA2D64" w:rsidRPr="00DA2D64">
              <w:rPr>
                <w:lang w:val="uk-UA"/>
              </w:rPr>
              <w:t xml:space="preserve"> </w:t>
            </w:r>
            <w:r w:rsidR="00DA2D64" w:rsidRPr="00DA2D64">
              <w:rPr>
                <w:rFonts w:ascii="Times New Roman" w:eastAsia="Times New Roman" w:hAnsi="Times New Roman" w:cs="Times New Roman"/>
                <w:color w:val="000000"/>
                <w:sz w:val="24"/>
                <w:szCs w:val="24"/>
                <w:lang w:val="uk-UA" w:eastAsia="ru-RU"/>
              </w:rPr>
              <w:t>можуть бути</w:t>
            </w:r>
            <w:r w:rsidRPr="00DA2D64">
              <w:rPr>
                <w:rFonts w:ascii="Times New Roman" w:eastAsia="Times New Roman" w:hAnsi="Times New Roman" w:cs="Times New Roman"/>
                <w:color w:val="000000"/>
                <w:sz w:val="24"/>
                <w:szCs w:val="24"/>
                <w:lang w:val="uk-UA" w:eastAsia="ru-RU"/>
              </w:rPr>
              <w:t xml:space="preserve"> консерви</w:t>
            </w:r>
            <w:r w:rsidR="00521F88" w:rsidRPr="00521F88">
              <w:rPr>
                <w:rFonts w:ascii="Times New Roman" w:eastAsia="Times New Roman" w:hAnsi="Times New Roman" w:cs="Times New Roman"/>
                <w:color w:val="000000"/>
                <w:sz w:val="24"/>
                <w:szCs w:val="24"/>
                <w:lang w:val="uk-UA" w:eastAsia="ru-RU"/>
              </w:rPr>
              <w:t xml:space="preserve">, особливо домашнього приготування, копчені, в’ялені м’ясні та рибні вироби, а також інші продукти, в яких є умови для розвитку вегетативних форм збудників та </w:t>
            </w:r>
            <w:proofErr w:type="spellStart"/>
            <w:r w:rsidR="00521F88" w:rsidRPr="00521F88">
              <w:rPr>
                <w:rFonts w:ascii="Times New Roman" w:eastAsia="Times New Roman" w:hAnsi="Times New Roman" w:cs="Times New Roman"/>
                <w:color w:val="000000"/>
                <w:sz w:val="24"/>
                <w:szCs w:val="24"/>
                <w:lang w:val="uk-UA" w:eastAsia="ru-RU"/>
              </w:rPr>
              <w:t>токсиноутворення</w:t>
            </w:r>
            <w:proofErr w:type="spellEnd"/>
            <w:r w:rsidR="00521F88" w:rsidRPr="00521F88">
              <w:rPr>
                <w:rFonts w:ascii="Times New Roman" w:eastAsia="Times New Roman" w:hAnsi="Times New Roman" w:cs="Times New Roman"/>
                <w:color w:val="000000"/>
                <w:sz w:val="24"/>
                <w:szCs w:val="24"/>
                <w:lang w:val="uk-UA" w:eastAsia="ru-RU"/>
              </w:rPr>
              <w:t xml:space="preserve">. </w:t>
            </w:r>
            <w:r w:rsidR="00DA2D64" w:rsidRPr="00DA2D64">
              <w:rPr>
                <w:rFonts w:ascii="Times New Roman" w:eastAsia="Times New Roman" w:hAnsi="Times New Roman" w:cs="Times New Roman"/>
                <w:color w:val="000000"/>
                <w:sz w:val="24"/>
                <w:szCs w:val="24"/>
                <w:lang w:val="uk-UA" w:eastAsia="ru-RU"/>
              </w:rPr>
              <w:t xml:space="preserve">Присутність </w:t>
            </w:r>
            <w:proofErr w:type="spellStart"/>
            <w:r w:rsidR="00DA2D64" w:rsidRPr="00DA2D64">
              <w:rPr>
                <w:rFonts w:ascii="Times New Roman" w:eastAsia="Times New Roman" w:hAnsi="Times New Roman" w:cs="Times New Roman"/>
                <w:color w:val="000000"/>
                <w:sz w:val="24"/>
                <w:szCs w:val="24"/>
                <w:lang w:val="uk-UA" w:eastAsia="ru-RU"/>
              </w:rPr>
              <w:t>ботулотокси</w:t>
            </w:r>
            <w:r w:rsidR="00521F88" w:rsidRPr="00521F88">
              <w:rPr>
                <w:rFonts w:ascii="Times New Roman" w:eastAsia="Times New Roman" w:hAnsi="Times New Roman" w:cs="Times New Roman"/>
                <w:color w:val="000000"/>
                <w:sz w:val="24"/>
                <w:szCs w:val="24"/>
                <w:lang w:val="uk-UA" w:eastAsia="ru-RU"/>
              </w:rPr>
              <w:t>ну</w:t>
            </w:r>
            <w:proofErr w:type="spellEnd"/>
            <w:r w:rsidR="00521F88" w:rsidRPr="00521F88">
              <w:rPr>
                <w:rFonts w:ascii="Times New Roman" w:eastAsia="Times New Roman" w:hAnsi="Times New Roman" w:cs="Times New Roman"/>
                <w:color w:val="000000"/>
                <w:sz w:val="24"/>
                <w:szCs w:val="24"/>
                <w:lang w:val="uk-UA" w:eastAsia="ru-RU"/>
              </w:rPr>
              <w:t xml:space="preserve"> в харчових продуктах не змінює їх органолептичних властивостей.</w:t>
            </w:r>
          </w:p>
          <w:p w:rsidR="00521F88" w:rsidRPr="00DA2D64" w:rsidRDefault="00615FDD" w:rsidP="00DA2D64">
            <w:pPr>
              <w:shd w:val="clear" w:color="auto" w:fill="FFFFFF"/>
              <w:ind w:left="225" w:right="225"/>
              <w:jc w:val="both"/>
              <w:rPr>
                <w:rFonts w:ascii="Times New Roman" w:eastAsia="Times New Roman" w:hAnsi="Times New Roman" w:cs="Times New Roman"/>
                <w:color w:val="000000"/>
                <w:sz w:val="24"/>
                <w:szCs w:val="24"/>
                <w:lang w:val="uk-UA" w:eastAsia="ru-RU"/>
              </w:rPr>
            </w:pPr>
            <w:r w:rsidRPr="00DA2D64">
              <w:rPr>
                <w:rFonts w:ascii="Times New Roman" w:eastAsia="Times New Roman" w:hAnsi="Times New Roman" w:cs="Times New Roman"/>
                <w:color w:val="000000"/>
                <w:sz w:val="24"/>
                <w:szCs w:val="24"/>
                <w:lang w:val="uk-UA" w:eastAsia="ru-RU"/>
              </w:rPr>
              <w:t xml:space="preserve">    </w:t>
            </w:r>
            <w:r w:rsidR="00521F88" w:rsidRPr="00521F88">
              <w:rPr>
                <w:rFonts w:ascii="Times New Roman" w:eastAsia="Times New Roman" w:hAnsi="Times New Roman" w:cs="Times New Roman"/>
                <w:color w:val="000000"/>
                <w:sz w:val="24"/>
                <w:szCs w:val="24"/>
                <w:lang w:val="uk-UA" w:eastAsia="ru-RU"/>
              </w:rPr>
              <w:t>Зараження людини ботулізмом відбувається внаслідок вживання харчових продуктів, котрі містять токсини бактерій ботулізму. Зараження від людини до людини не відбувається.  Симптоми захворювання проявляються впродовж 12-36 годин після споживання продукту, що містить токсин. При цьому спостерігається підвищення температури тіла, стомлюваність, головокружіння, нудота, порушення зорових функцій, сухість в роті, утруднення ковтання та параліч м’язів. Параліч може призвести до утруднення дихання і, як наслідок, смерті хворого.</w:t>
            </w:r>
          </w:p>
          <w:p w:rsidR="00615FDD" w:rsidRPr="00DA2D64" w:rsidRDefault="00615FDD" w:rsidP="00DA2D64">
            <w:pPr>
              <w:shd w:val="clear" w:color="auto" w:fill="FFFFFF"/>
              <w:ind w:left="225" w:right="225"/>
              <w:jc w:val="both"/>
              <w:rPr>
                <w:rFonts w:ascii="Verdana" w:eastAsia="Times New Roman" w:hAnsi="Verdana" w:cs="Times New Roman"/>
                <w:color w:val="000000"/>
                <w:sz w:val="24"/>
                <w:szCs w:val="24"/>
                <w:lang w:val="uk-UA" w:eastAsia="ru-RU"/>
              </w:rPr>
            </w:pPr>
          </w:p>
          <w:p w:rsidR="00615FDD" w:rsidRPr="00521F88" w:rsidRDefault="00615FDD" w:rsidP="00DA2D64">
            <w:pPr>
              <w:shd w:val="clear" w:color="auto" w:fill="FFFFFF"/>
              <w:ind w:left="225" w:right="225"/>
              <w:jc w:val="both"/>
              <w:rPr>
                <w:rFonts w:ascii="Verdana" w:eastAsia="Times New Roman" w:hAnsi="Verdana" w:cs="Times New Roman"/>
                <w:color w:val="000000"/>
                <w:sz w:val="24"/>
                <w:szCs w:val="24"/>
                <w:lang w:val="uk-UA" w:eastAsia="ru-RU"/>
              </w:rPr>
            </w:pPr>
            <w:r w:rsidRPr="00DA2D64">
              <w:rPr>
                <w:rFonts w:ascii="Times New Roman" w:eastAsia="Times New Roman" w:hAnsi="Times New Roman" w:cs="Times New Roman"/>
                <w:noProof/>
                <w:color w:val="4169E1"/>
                <w:sz w:val="24"/>
                <w:szCs w:val="24"/>
                <w:lang w:eastAsia="ru-RU"/>
              </w:rPr>
              <w:drawing>
                <wp:anchor distT="0" distB="0" distL="114300" distR="114300" simplePos="0" relativeHeight="251660288" behindDoc="1" locked="0" layoutInCell="1" allowOverlap="1">
                  <wp:simplePos x="0" y="0"/>
                  <wp:positionH relativeFrom="column">
                    <wp:posOffset>92710</wp:posOffset>
                  </wp:positionH>
                  <wp:positionV relativeFrom="paragraph">
                    <wp:posOffset>127635</wp:posOffset>
                  </wp:positionV>
                  <wp:extent cx="2026920" cy="1325880"/>
                  <wp:effectExtent l="0" t="0" r="0" b="7620"/>
                  <wp:wrapTight wrapText="bothSides">
                    <wp:wrapPolygon edited="0">
                      <wp:start x="0" y="0"/>
                      <wp:lineTo x="0" y="21414"/>
                      <wp:lineTo x="21316" y="21414"/>
                      <wp:lineTo x="21316" y="0"/>
                      <wp:lineTo x="0" y="0"/>
                    </wp:wrapPolygon>
                  </wp:wrapTight>
                  <wp:docPr id="1" name="Рисунок 1" descr="ryba-1024x76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yba-1024x765">
                            <a:hlinkClick r:id="rId10"/>
                          </pic:cNvPr>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26920" cy="1325880"/>
                          </a:xfrm>
                          <a:prstGeom prst="rect">
                            <a:avLst/>
                          </a:prstGeom>
                          <a:noFill/>
                          <a:ln>
                            <a:noFill/>
                          </a:ln>
                        </pic:spPr>
                      </pic:pic>
                    </a:graphicData>
                  </a:graphic>
                </wp:anchor>
              </w:drawing>
            </w:r>
          </w:p>
          <w:p w:rsidR="00521F88" w:rsidRPr="00521F88" w:rsidRDefault="00615FDD" w:rsidP="00DA2D64">
            <w:pPr>
              <w:shd w:val="clear" w:color="auto" w:fill="FFFFFF"/>
              <w:ind w:left="225" w:right="225"/>
              <w:jc w:val="both"/>
              <w:rPr>
                <w:rFonts w:ascii="Times New Roman" w:eastAsia="Times New Roman" w:hAnsi="Times New Roman" w:cs="Times New Roman"/>
                <w:color w:val="666666"/>
                <w:sz w:val="24"/>
                <w:szCs w:val="24"/>
                <w:lang w:val="uk-UA" w:eastAsia="ru-RU"/>
              </w:rPr>
            </w:pPr>
            <w:r w:rsidRPr="00DA2D64">
              <w:rPr>
                <w:rFonts w:ascii="Times New Roman" w:eastAsia="Times New Roman" w:hAnsi="Times New Roman" w:cs="Times New Roman"/>
                <w:color w:val="000000"/>
                <w:sz w:val="24"/>
                <w:szCs w:val="24"/>
                <w:lang w:val="uk-UA" w:eastAsia="ru-RU"/>
              </w:rPr>
              <w:t xml:space="preserve">    </w:t>
            </w:r>
            <w:r w:rsidR="00521F88" w:rsidRPr="00521F88">
              <w:rPr>
                <w:rFonts w:ascii="Times New Roman" w:eastAsia="Times New Roman" w:hAnsi="Times New Roman" w:cs="Times New Roman"/>
                <w:color w:val="000000"/>
                <w:sz w:val="24"/>
                <w:szCs w:val="24"/>
                <w:lang w:val="uk-UA" w:eastAsia="ru-RU"/>
              </w:rPr>
              <w:t>Найчастіше реєструються захворювання, пов’язані з вживанням грибів домашнього консервування, копченої або в’яленої риби, м’ясних і ковбасних виробів, бобових консервів. Ці продукти частіше викликають групові, «сімейні» спалахи захворювань. Якщо інфікований продукт твердофазний (ковбаса, копчене м’ясо, риба), то в ньому можлива, так звана, «гніздова» інфікованість збудниками ботулізму і утворення токсинів. Тому зустрічаються випадки захворювання на ботулізм, коли не всі особи, які вживали один продукт, хворіють. У даний час переважають захворювання, викликані отруєннями токсинами А, В або Е.</w:t>
            </w:r>
          </w:p>
          <w:p w:rsidR="00521F88" w:rsidRPr="00521F88" w:rsidRDefault="00615FDD" w:rsidP="00DA2D64">
            <w:pPr>
              <w:shd w:val="clear" w:color="auto" w:fill="FFFFFF"/>
              <w:ind w:left="225" w:right="225"/>
              <w:jc w:val="both"/>
              <w:rPr>
                <w:rFonts w:ascii="Times New Roman" w:eastAsia="Times New Roman" w:hAnsi="Times New Roman" w:cs="Times New Roman"/>
                <w:color w:val="666666"/>
                <w:sz w:val="24"/>
                <w:szCs w:val="24"/>
                <w:lang w:val="uk-UA" w:eastAsia="ru-RU"/>
              </w:rPr>
            </w:pPr>
            <w:r w:rsidRPr="00DA2D64">
              <w:rPr>
                <w:rFonts w:ascii="Times New Roman" w:eastAsia="Times New Roman" w:hAnsi="Times New Roman" w:cs="Times New Roman"/>
                <w:color w:val="000000"/>
                <w:sz w:val="24"/>
                <w:szCs w:val="24"/>
                <w:lang w:val="uk-UA" w:eastAsia="ru-RU"/>
              </w:rPr>
              <w:t xml:space="preserve">     </w:t>
            </w:r>
            <w:r w:rsidR="00521F88" w:rsidRPr="00521F88">
              <w:rPr>
                <w:rFonts w:ascii="Times New Roman" w:eastAsia="Times New Roman" w:hAnsi="Times New Roman" w:cs="Times New Roman"/>
                <w:color w:val="000000"/>
                <w:sz w:val="24"/>
                <w:szCs w:val="24"/>
                <w:lang w:val="uk-UA" w:eastAsia="ru-RU"/>
              </w:rPr>
              <w:t>Таким чином, основним шляхом передачі захворювання є харчовий, обумовлений вживанням консервованих у домашніх умовах продуктів харчування.</w:t>
            </w:r>
          </w:p>
          <w:p w:rsidR="00373912" w:rsidRPr="00DA2D64" w:rsidRDefault="00373912" w:rsidP="00DA2D64">
            <w:pPr>
              <w:jc w:val="both"/>
              <w:rPr>
                <w:rFonts w:ascii="Times New Roman" w:hAnsi="Times New Roman" w:cs="Times New Roman"/>
                <w:sz w:val="24"/>
                <w:szCs w:val="24"/>
                <w:lang w:val="uk-UA"/>
              </w:rPr>
            </w:pPr>
          </w:p>
          <w:p w:rsidR="00373912" w:rsidRPr="00DA2D64" w:rsidRDefault="00373912" w:rsidP="00DA2D64">
            <w:pPr>
              <w:jc w:val="both"/>
              <w:rPr>
                <w:sz w:val="24"/>
                <w:szCs w:val="24"/>
                <w:lang w:val="uk-UA"/>
              </w:rPr>
            </w:pPr>
          </w:p>
          <w:p w:rsidR="00373912" w:rsidRPr="00DA2D64" w:rsidRDefault="00615FDD" w:rsidP="00DA2D64">
            <w:pPr>
              <w:jc w:val="center"/>
              <w:rPr>
                <w:rFonts w:ascii="Monotype Corsiva" w:hAnsi="Monotype Corsiva" w:cs="Times New Roman"/>
                <w:b/>
                <w:sz w:val="20"/>
                <w:szCs w:val="20"/>
                <w:lang w:val="uk-UA"/>
              </w:rPr>
            </w:pPr>
            <w:r w:rsidRPr="00DA2D64">
              <w:rPr>
                <w:rFonts w:ascii="Monotype Corsiva" w:hAnsi="Monotype Corsiva" w:cs="Times New Roman"/>
                <w:b/>
                <w:sz w:val="20"/>
                <w:szCs w:val="20"/>
                <w:lang w:val="uk-UA"/>
              </w:rPr>
              <w:t>м.</w:t>
            </w:r>
            <w:r w:rsidR="00DA2D64">
              <w:rPr>
                <w:rFonts w:ascii="Monotype Corsiva" w:hAnsi="Monotype Corsiva" w:cs="Times New Roman"/>
                <w:b/>
                <w:sz w:val="20"/>
                <w:szCs w:val="20"/>
                <w:lang w:val="uk-UA"/>
              </w:rPr>
              <w:t xml:space="preserve"> Городня 2019</w:t>
            </w:r>
          </w:p>
        </w:tc>
      </w:tr>
    </w:tbl>
    <w:p w:rsidR="00BA7BC7" w:rsidRPr="00DA2D64" w:rsidRDefault="00BA7BC7" w:rsidP="005B035C">
      <w:pPr>
        <w:rPr>
          <w:sz w:val="24"/>
          <w:szCs w:val="24"/>
          <w:lang w:val="uk-UA"/>
        </w:rPr>
      </w:pPr>
      <w:bookmarkStart w:id="0" w:name="_GoBack"/>
      <w:bookmarkEnd w:id="0"/>
    </w:p>
    <w:sectPr w:rsidR="00BA7BC7" w:rsidRPr="00DA2D64" w:rsidSect="00373912">
      <w:pgSz w:w="11906" w:h="16838"/>
      <w:pgMar w:top="851" w:right="850" w:bottom="851" w:left="1701" w:header="708" w:footer="708" w:gutter="0"/>
      <w:pgBorders w:offsetFrom="page">
        <w:top w:val="waveline" w:sz="20" w:space="24" w:color="7030A0"/>
        <w:left w:val="waveline" w:sz="20" w:space="24" w:color="7030A0"/>
        <w:bottom w:val="waveline" w:sz="20" w:space="24" w:color="7030A0"/>
        <w:right w:val="waveline" w:sz="20" w:space="24" w:color="7030A0"/>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F5DDD"/>
    <w:multiLevelType w:val="multilevel"/>
    <w:tmpl w:val="6B041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F9343F"/>
    <w:multiLevelType w:val="multilevel"/>
    <w:tmpl w:val="2474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73912"/>
    <w:rsid w:val="00053D84"/>
    <w:rsid w:val="00373912"/>
    <w:rsid w:val="00521F88"/>
    <w:rsid w:val="00560996"/>
    <w:rsid w:val="005B035C"/>
    <w:rsid w:val="00615FDD"/>
    <w:rsid w:val="00842FF1"/>
    <w:rsid w:val="00BA7BC7"/>
    <w:rsid w:val="00CA4B9F"/>
    <w:rsid w:val="00DA2D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FF1"/>
  </w:style>
  <w:style w:type="paragraph" w:styleId="2">
    <w:name w:val="heading 2"/>
    <w:basedOn w:val="a"/>
    <w:link w:val="20"/>
    <w:uiPriority w:val="9"/>
    <w:qFormat/>
    <w:rsid w:val="00521F8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7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521F88"/>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521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21F8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1F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21F8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73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521F88"/>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521F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21F8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1F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33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t-dpss.gov.ua/wp-content/uploads/73_49.jp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t-dpss.gov.ua/wp-content/uploads/botulizm.jpg" TargetMode="Externa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hyperlink" Target="http://zt-dpss.gov.ua/wp-content/uploads/ryba-1024x765.jpg" TargetMode="Externa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932C2-0AE2-482A-97D8-30B988B9D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Zagalnyi 1</cp:lastModifiedBy>
  <cp:revision>2</cp:revision>
  <cp:lastPrinted>2019-06-21T09:12:00Z</cp:lastPrinted>
  <dcterms:created xsi:type="dcterms:W3CDTF">2019-06-21T11:48:00Z</dcterms:created>
  <dcterms:modified xsi:type="dcterms:W3CDTF">2019-06-21T11:48:00Z</dcterms:modified>
</cp:coreProperties>
</file>