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1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9A8">
        <w:rPr>
          <w:rFonts w:ascii="Times New Roman" w:hAnsi="Times New Roman" w:cs="Times New Roman"/>
          <w:sz w:val="28"/>
          <w:szCs w:val="28"/>
        </w:rPr>
        <w:fldChar w:fldCharType="begin"/>
      </w:r>
      <w:r w:rsidRPr="000219A8">
        <w:rPr>
          <w:rFonts w:ascii="Times New Roman" w:hAnsi="Times New Roman" w:cs="Times New Roman"/>
          <w:sz w:val="28"/>
          <w:szCs w:val="28"/>
        </w:rPr>
        <w:instrText xml:space="preserve"> HYPERLINK "http://volynska.land.gov.ua/uvaha-zminy-u-deklaruvanni-u-2020-rotsi/" \o "Увага! Зміни у декларуванні у 2020 році" </w:instrText>
      </w:r>
      <w:r w:rsidRPr="000219A8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Увага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2020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fldChar w:fldCharType="end"/>
      </w:r>
    </w:p>
    <w:p w:rsidR="000A13FE" w:rsidRPr="000A13FE" w:rsidRDefault="000A13FE" w:rsidP="003445A3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589905" cy="4192270"/>
            <wp:effectExtent l="19050" t="0" r="0" b="0"/>
            <wp:docPr id="1" name="Рисунок 1" descr="http://volynska.land.gov.ua/wp-content/uploads/2019/12/b6037bbb8881eec52a47c03f01018992005aa287.jpg">
              <a:hlinkClick xmlns:a="http://schemas.openxmlformats.org/drawingml/2006/main" r:id="rId5" tooltip="&quot;Увага! Зміни у декларуванні у 2020 році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lynska.land.gov.ua/wp-content/uploads/2019/12/b6037bbb8881eec52a47c03f01018992005aa287.jpg">
                      <a:hlinkClick r:id="rId5" tooltip="&quot;Увага! Зміни у декларуванні у 2020 році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05" cy="419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Процедура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зміню</w:t>
      </w:r>
      <w:r w:rsidR="00B52237" w:rsidRPr="000219A8">
        <w:rPr>
          <w:rFonts w:ascii="Times New Roman" w:hAnsi="Times New Roman" w:cs="Times New Roman"/>
          <w:sz w:val="28"/>
          <w:szCs w:val="28"/>
        </w:rPr>
        <w:t>є</w:t>
      </w:r>
      <w:r w:rsidR="000219A8" w:rsidRPr="000219A8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Pr="000219A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0219A8">
          <w:rPr>
            <w:rFonts w:ascii="Times New Roman" w:hAnsi="Times New Roman" w:cs="Times New Roman"/>
            <w:sz w:val="28"/>
            <w:szCs w:val="28"/>
          </w:rPr>
          <w:t xml:space="preserve">Закону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України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«Про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внесення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змін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до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деяких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законодавчих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актів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України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щодо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забезпечення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ефективності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інституційного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механізму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запобігання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0219A8">
          <w:rPr>
            <w:rFonts w:ascii="Times New Roman" w:hAnsi="Times New Roman" w:cs="Times New Roman"/>
            <w:sz w:val="28"/>
            <w:szCs w:val="28"/>
          </w:rPr>
          <w:t>корупції</w:t>
        </w:r>
        <w:proofErr w:type="spellEnd"/>
        <w:r w:rsidRPr="000219A8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0219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набув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2019 року.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: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виключається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громадськими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активістами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антикорупційною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зменшено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експертів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ідповідної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кваліфікації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складу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конкурсних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рад, рад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контролю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змінено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норму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виправленої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– декларант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семи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право подати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виправлену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. </w:t>
      </w:r>
      <w:r w:rsidRPr="001405A1">
        <w:rPr>
          <w:rFonts w:ascii="Times New Roman" w:hAnsi="Times New Roman" w:cs="Times New Roman"/>
          <w:b/>
          <w:sz w:val="28"/>
          <w:szCs w:val="28"/>
        </w:rPr>
        <w:t xml:space="preserve">Але не </w:t>
      </w:r>
      <w:proofErr w:type="spellStart"/>
      <w:r w:rsidRPr="001405A1">
        <w:rPr>
          <w:rFonts w:ascii="Times New Roman" w:hAnsi="Times New Roman" w:cs="Times New Roman"/>
          <w:b/>
          <w:sz w:val="28"/>
          <w:szCs w:val="28"/>
        </w:rPr>
        <w:t>більше</w:t>
      </w:r>
      <w:proofErr w:type="spellEnd"/>
      <w:r w:rsidRPr="001405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5A1">
        <w:rPr>
          <w:rFonts w:ascii="Times New Roman" w:hAnsi="Times New Roman" w:cs="Times New Roman"/>
          <w:b/>
          <w:sz w:val="28"/>
          <w:szCs w:val="28"/>
        </w:rPr>
        <w:t>трьох</w:t>
      </w:r>
      <w:proofErr w:type="spellEnd"/>
      <w:r w:rsidRPr="001405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05A1">
        <w:rPr>
          <w:rFonts w:ascii="Times New Roman" w:hAnsi="Times New Roman" w:cs="Times New Roman"/>
          <w:b/>
          <w:sz w:val="28"/>
          <w:szCs w:val="28"/>
        </w:rPr>
        <w:t>разі</w:t>
      </w:r>
      <w:proofErr w:type="gramStart"/>
      <w:r w:rsidRPr="001405A1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1405A1">
        <w:rPr>
          <w:rFonts w:ascii="Times New Roman" w:hAnsi="Times New Roman" w:cs="Times New Roman"/>
          <w:b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вводяться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2020 року)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Розширюється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перелік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декларант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Так, декларант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: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ізвище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батькові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: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число,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місяць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lastRenderedPageBreak/>
        <w:t>реєстраційний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ікової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серію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номер паспорта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унікальний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запису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Єдиному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державному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демографічному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зареєстроване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фактичного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поштову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адресу, на яку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агентством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надіслано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кореспонденцію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ісце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майбутньої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);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займану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посаду,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посаду, на яку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претенду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категорію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посади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proofErr w:type="gramStart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належність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службових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відповідальне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особливо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відповідальне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становище,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посади,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належність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публічних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діячів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протидію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легалізації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відмиванню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одержаних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злочинним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шляхом,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фінансуванню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тероризму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фінансуванню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зброї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»;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пов’язан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кінцевим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бенефіціарним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(контролером)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—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трасти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правові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кінцевим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бенефіціарним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(контролером)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члени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нематеріальні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активи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інтелектуальної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оцінені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грошовому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еквіваленті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криптовалюти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9A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слова «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нараховані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 доходи»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замінено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словами «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отримані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доходи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».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Внесено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уточнення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«члени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».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додатково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віднесено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досягнення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ними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повноліття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спільного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7C3B45" w:rsidRDefault="00BC1818" w:rsidP="003445A3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Додається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ще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 xml:space="preserve"> один блок </w:t>
      </w: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відомостей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зазначатимуться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7C3B45">
        <w:rPr>
          <w:rFonts w:ascii="Times New Roman" w:hAnsi="Times New Roman" w:cs="Times New Roman"/>
          <w:b/>
          <w:sz w:val="28"/>
          <w:szCs w:val="28"/>
        </w:rPr>
        <w:t>декларації</w:t>
      </w:r>
      <w:proofErr w:type="spellEnd"/>
      <w:r w:rsidRPr="007C3B45">
        <w:rPr>
          <w:rFonts w:ascii="Times New Roman" w:hAnsi="Times New Roman" w:cs="Times New Roman"/>
          <w:b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ідлягають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декларуванню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банківські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фінансові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установи, у тому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за кордоном,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рахунки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типу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рахунки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третіми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особами на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зберігаються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інше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включають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тип та номер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банківську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фінансову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установу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розпоряджатися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рахунком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доступ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індивідуального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банківського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сейфу,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відкрили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84EDD" w:rsidRDefault="00BC1818" w:rsidP="003445A3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lastRenderedPageBreak/>
        <w:t>Додається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вимога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декларування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фінансових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зобов’язань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членів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4EDD">
        <w:rPr>
          <w:rFonts w:ascii="Times New Roman" w:hAnsi="Times New Roman" w:cs="Times New Roman"/>
          <w:b/>
          <w:sz w:val="28"/>
          <w:szCs w:val="28"/>
        </w:rPr>
        <w:t>сі</w:t>
      </w:r>
      <w:proofErr w:type="gramStart"/>
      <w:r w:rsidRPr="00084EDD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084EDD">
        <w:rPr>
          <w:rFonts w:ascii="Times New Roman" w:hAnsi="Times New Roman" w:cs="Times New Roman"/>
          <w:b/>
          <w:sz w:val="28"/>
          <w:szCs w:val="28"/>
        </w:rPr>
        <w:t>’ї</w:t>
      </w:r>
      <w:proofErr w:type="spellEnd"/>
      <w:r w:rsidRPr="00084EDD">
        <w:rPr>
          <w:rFonts w:ascii="Times New Roman" w:hAnsi="Times New Roman" w:cs="Times New Roman"/>
          <w:b/>
          <w:sz w:val="28"/>
          <w:szCs w:val="28"/>
        </w:rPr>
        <w:t xml:space="preserve"> декларанта.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1C8E">
        <w:rPr>
          <w:rFonts w:ascii="Times New Roman" w:hAnsi="Times New Roman" w:cs="Times New Roman"/>
          <w:b/>
          <w:sz w:val="28"/>
          <w:szCs w:val="28"/>
        </w:rPr>
        <w:t>Скасовується</w:t>
      </w:r>
      <w:proofErr w:type="spellEnd"/>
      <w:r w:rsidRPr="00E71C8E">
        <w:rPr>
          <w:rFonts w:ascii="Times New Roman" w:hAnsi="Times New Roman" w:cs="Times New Roman"/>
          <w:b/>
          <w:sz w:val="28"/>
          <w:szCs w:val="28"/>
        </w:rPr>
        <w:t xml:space="preserve"> норм</w:t>
      </w:r>
      <w:r w:rsidRPr="000219A8">
        <w:rPr>
          <w:rFonts w:ascii="Times New Roman" w:hAnsi="Times New Roman" w:cs="Times New Roman"/>
          <w:sz w:val="28"/>
          <w:szCs w:val="28"/>
        </w:rPr>
        <w:t>а 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обов’язковості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зобов’язань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0219A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перевищує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прожиткових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мінімумів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працездатних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на 1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року;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014A0">
        <w:rPr>
          <w:rFonts w:ascii="Times New Roman" w:hAnsi="Times New Roman" w:cs="Times New Roman"/>
          <w:b/>
          <w:sz w:val="28"/>
          <w:szCs w:val="28"/>
        </w:rPr>
        <w:t>Додається</w:t>
      </w:r>
      <w:proofErr w:type="spellEnd"/>
      <w:r w:rsidRPr="007014A0">
        <w:rPr>
          <w:rFonts w:ascii="Times New Roman" w:hAnsi="Times New Roman" w:cs="Times New Roman"/>
          <w:b/>
          <w:sz w:val="28"/>
          <w:szCs w:val="28"/>
        </w:rPr>
        <w:t xml:space="preserve"> норма</w:t>
      </w:r>
      <w:r w:rsidR="00945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9A8">
        <w:rPr>
          <w:rFonts w:ascii="Times New Roman" w:hAnsi="Times New Roman" w:cs="Times New Roman"/>
          <w:sz w:val="28"/>
          <w:szCs w:val="28"/>
        </w:rPr>
        <w:t xml:space="preserve">про те,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перебував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володінні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користуванні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перебував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володінні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користуванні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станом на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половини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іоду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A3A49">
        <w:rPr>
          <w:rFonts w:ascii="Times New Roman" w:hAnsi="Times New Roman" w:cs="Times New Roman"/>
          <w:b/>
          <w:sz w:val="28"/>
          <w:szCs w:val="28"/>
        </w:rPr>
        <w:t>Вводиться норма</w:t>
      </w:r>
      <w:r w:rsidR="00960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9A8">
        <w:rPr>
          <w:rFonts w:ascii="Times New Roman" w:hAnsi="Times New Roman" w:cs="Times New Roman"/>
          <w:sz w:val="28"/>
          <w:szCs w:val="28"/>
        </w:rPr>
        <w:t xml:space="preserve">про те,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заповнення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суттєві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майновому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подружжям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проживали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станом на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останній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сукупно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183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року,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передує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590">
        <w:rPr>
          <w:rFonts w:ascii="Times New Roman" w:hAnsi="Times New Roman" w:cs="Times New Roman"/>
          <w:b/>
          <w:sz w:val="28"/>
          <w:szCs w:val="28"/>
        </w:rPr>
        <w:t>Вносяться</w:t>
      </w:r>
      <w:proofErr w:type="spellEnd"/>
      <w:r w:rsidRPr="002305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0590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ідстав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суттєві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майновому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E81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9A8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звужується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коло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декларантів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вимога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: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суттєвими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майновому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доходу,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розумітиметься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видатку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на суму, яка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перевищує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прожиткових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мінімумів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;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повідомлень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суттєві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майновому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службовими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відповідальне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особливо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відповідальне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становище, 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декларування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займають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посади,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івнем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корупційних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ризиків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Закону.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НАГАДУЄМО 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до Закону,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набули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18.10.2019,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значно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розширено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коло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. Так, до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переліку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близьких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у чинному Закону,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наразі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двоюрідний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брат,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двоюрідна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сестра, </w:t>
      </w:r>
      <w:proofErr w:type="spellStart"/>
      <w:proofErr w:type="gramStart"/>
      <w:r w:rsidRPr="000219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9A8">
        <w:rPr>
          <w:rFonts w:ascii="Times New Roman" w:hAnsi="Times New Roman" w:cs="Times New Roman"/>
          <w:sz w:val="28"/>
          <w:szCs w:val="28"/>
        </w:rPr>
        <w:t>ідний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брат та сестра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дружини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племінник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племінниця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рідний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дядько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рідна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тітка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батько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дружини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сина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(дочки) (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9A8">
        <w:rPr>
          <w:rFonts w:ascii="Times New Roman" w:hAnsi="Times New Roman" w:cs="Times New Roman"/>
          <w:sz w:val="28"/>
          <w:szCs w:val="28"/>
        </w:rPr>
        <w:t>свати</w:t>
      </w:r>
      <w:proofErr w:type="spellEnd"/>
      <w:r w:rsidRPr="000219A8">
        <w:rPr>
          <w:rFonts w:ascii="Times New Roman" w:hAnsi="Times New Roman" w:cs="Times New Roman"/>
          <w:sz w:val="28"/>
          <w:szCs w:val="28"/>
        </w:rPr>
        <w:t>).</w:t>
      </w:r>
    </w:p>
    <w:p w:rsidR="00BC1818" w:rsidRPr="000219A8" w:rsidRDefault="00BC1818" w:rsidP="003445A3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219A8">
        <w:rPr>
          <w:rFonts w:ascii="Times New Roman" w:hAnsi="Times New Roman" w:cs="Times New Roman"/>
          <w:sz w:val="28"/>
          <w:szCs w:val="28"/>
        </w:rPr>
        <w:t> </w:t>
      </w:r>
    </w:p>
    <w:p w:rsidR="0047060A" w:rsidRPr="000219A8" w:rsidRDefault="0047060A" w:rsidP="00B52237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47060A" w:rsidRPr="00021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6FEB"/>
    <w:multiLevelType w:val="multilevel"/>
    <w:tmpl w:val="D67E2E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9E071E"/>
    <w:multiLevelType w:val="multilevel"/>
    <w:tmpl w:val="70864D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9B742F"/>
    <w:multiLevelType w:val="multilevel"/>
    <w:tmpl w:val="FDFE99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F10B7"/>
    <w:multiLevelType w:val="multilevel"/>
    <w:tmpl w:val="E878FE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B069D5"/>
    <w:multiLevelType w:val="multilevel"/>
    <w:tmpl w:val="BF34A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83655B"/>
    <w:multiLevelType w:val="multilevel"/>
    <w:tmpl w:val="49CA5A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D441D0"/>
    <w:multiLevelType w:val="multilevel"/>
    <w:tmpl w:val="260AB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EB41D5"/>
    <w:multiLevelType w:val="multilevel"/>
    <w:tmpl w:val="AB821D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C1818"/>
    <w:rsid w:val="000219A8"/>
    <w:rsid w:val="00084EDD"/>
    <w:rsid w:val="000A13FE"/>
    <w:rsid w:val="001405A1"/>
    <w:rsid w:val="00230590"/>
    <w:rsid w:val="003445A3"/>
    <w:rsid w:val="0047060A"/>
    <w:rsid w:val="007014A0"/>
    <w:rsid w:val="007520F2"/>
    <w:rsid w:val="007A3A49"/>
    <w:rsid w:val="007C3B45"/>
    <w:rsid w:val="0094580C"/>
    <w:rsid w:val="0096069C"/>
    <w:rsid w:val="00B52237"/>
    <w:rsid w:val="00BC1818"/>
    <w:rsid w:val="00E71C8E"/>
    <w:rsid w:val="00E81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C18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C18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BC1818"/>
    <w:rPr>
      <w:color w:val="0000FF"/>
      <w:u w:val="single"/>
    </w:rPr>
  </w:style>
  <w:style w:type="character" w:customStyle="1" w:styleId="post-meta-date">
    <w:name w:val="post-meta-date"/>
    <w:basedOn w:val="a0"/>
    <w:rsid w:val="00BC1818"/>
  </w:style>
  <w:style w:type="paragraph" w:styleId="a4">
    <w:name w:val="Normal (Web)"/>
    <w:basedOn w:val="a"/>
    <w:uiPriority w:val="99"/>
    <w:semiHidden/>
    <w:unhideWhenUsed/>
    <w:rsid w:val="00BC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C1818"/>
    <w:rPr>
      <w:b/>
      <w:bCs/>
    </w:rPr>
  </w:style>
  <w:style w:type="character" w:customStyle="1" w:styleId="apple-converted-space">
    <w:name w:val="apple-converted-space"/>
    <w:basedOn w:val="a0"/>
    <w:rsid w:val="00BC1818"/>
  </w:style>
  <w:style w:type="paragraph" w:styleId="a6">
    <w:name w:val="Balloon Text"/>
    <w:basedOn w:val="a"/>
    <w:link w:val="a7"/>
    <w:uiPriority w:val="99"/>
    <w:semiHidden/>
    <w:unhideWhenUsed/>
    <w:rsid w:val="00BC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81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B522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976">
          <w:marLeft w:val="0"/>
          <w:marRight w:val="0"/>
          <w:marTop w:val="0"/>
          <w:marBottom w:val="4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25650">
              <w:marLeft w:val="0"/>
              <w:marRight w:val="0"/>
              <w:marTop w:val="0"/>
              <w:marBottom w:val="0"/>
              <w:divBdr>
                <w:top w:val="none" w:sz="0" w:space="11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659993">
          <w:marLeft w:val="0"/>
          <w:marRight w:val="0"/>
          <w:marTop w:val="0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rainepravo.com/law-making/bill_enacted_into_law/zakon-ukayiny-pro-vnesennya-zmin-do-deyakykh-zakonodavchykh-aktiv-ukrayiny-shchodo-zabezpechennya-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volynska.land.gov.ua/uvaha-zminy-u-deklaruvanni-u-2020-rots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904</Words>
  <Characters>5157</Characters>
  <Application>Microsoft Office Word</Application>
  <DocSecurity>0</DocSecurity>
  <Lines>42</Lines>
  <Paragraphs>12</Paragraphs>
  <ScaleCrop>false</ScaleCrop>
  <Company>Reanimator Extreme Edition</Company>
  <LinksUpToDate>false</LinksUpToDate>
  <CharactersWithSpaces>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2020-01-08T11:31:00Z</dcterms:created>
  <dcterms:modified xsi:type="dcterms:W3CDTF">2020-01-08T11:40:00Z</dcterms:modified>
</cp:coreProperties>
</file>